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6D9EB">
      <w:pPr>
        <w:rPr>
          <w:rFonts w:ascii="楷体" w:hAnsi="楷体" w:eastAsia="楷体"/>
          <w:sz w:val="24"/>
          <w:szCs w:val="24"/>
        </w:rPr>
      </w:pPr>
    </w:p>
    <w:p w14:paraId="48CF0D60">
      <w:pPr>
        <w:rPr>
          <w:rFonts w:ascii="楷体" w:hAnsi="楷体" w:eastAsia="楷体"/>
          <w:b/>
          <w:sz w:val="28"/>
          <w:szCs w:val="28"/>
        </w:rPr>
      </w:pPr>
    </w:p>
    <w:p w14:paraId="47672DFB"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宠物猫饲养应激防控</w:t>
      </w:r>
      <w:r>
        <w:rPr>
          <w:rFonts w:ascii="楷体" w:hAnsi="楷体" w:eastAsia="楷体"/>
          <w:b/>
          <w:sz w:val="44"/>
          <w:szCs w:val="44"/>
        </w:rPr>
        <w:t>指南</w:t>
      </w:r>
    </w:p>
    <w:p w14:paraId="20379865"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                     </w:t>
      </w:r>
    </w:p>
    <w:p w14:paraId="29C40C26">
      <w:pPr>
        <w:rPr>
          <w:rFonts w:ascii="楷体" w:hAnsi="楷体" w:eastAsia="楷体"/>
          <w:sz w:val="24"/>
          <w:szCs w:val="24"/>
        </w:rPr>
      </w:pPr>
    </w:p>
    <w:p w14:paraId="49D9B47A">
      <w:pPr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（征求意见稿）</w:t>
      </w:r>
    </w:p>
    <w:p w14:paraId="11B5D6F6">
      <w:pPr>
        <w:rPr>
          <w:rFonts w:ascii="楷体" w:hAnsi="楷体" w:eastAsia="楷体"/>
          <w:b/>
          <w:sz w:val="28"/>
          <w:szCs w:val="28"/>
        </w:rPr>
      </w:pPr>
    </w:p>
    <w:p w14:paraId="27890CE8">
      <w:pPr>
        <w:rPr>
          <w:rFonts w:ascii="楷体" w:hAnsi="楷体" w:eastAsia="楷体"/>
          <w:b/>
          <w:sz w:val="28"/>
          <w:szCs w:val="28"/>
        </w:rPr>
      </w:pPr>
    </w:p>
    <w:p w14:paraId="5C3F03BC">
      <w:pPr>
        <w:rPr>
          <w:rFonts w:ascii="楷体" w:hAnsi="楷体" w:eastAsia="楷体"/>
          <w:b/>
          <w:sz w:val="28"/>
          <w:szCs w:val="28"/>
        </w:rPr>
      </w:pPr>
    </w:p>
    <w:p w14:paraId="4CEDE4FB">
      <w:pPr>
        <w:rPr>
          <w:rFonts w:ascii="楷体" w:hAnsi="楷体" w:eastAsia="楷体"/>
          <w:b/>
          <w:sz w:val="28"/>
          <w:szCs w:val="28"/>
        </w:rPr>
      </w:pPr>
    </w:p>
    <w:p w14:paraId="11F0A295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编制说明</w:t>
      </w:r>
    </w:p>
    <w:p w14:paraId="5CC9E4F6">
      <w:pPr>
        <w:rPr>
          <w:rFonts w:ascii="楷体" w:hAnsi="楷体" w:eastAsia="楷体"/>
          <w:b/>
          <w:sz w:val="28"/>
          <w:szCs w:val="28"/>
        </w:rPr>
      </w:pPr>
    </w:p>
    <w:p w14:paraId="7BF9F3A5">
      <w:pPr>
        <w:rPr>
          <w:rFonts w:ascii="楷体" w:hAnsi="楷体" w:eastAsia="楷体"/>
          <w:b/>
          <w:sz w:val="28"/>
          <w:szCs w:val="28"/>
        </w:rPr>
      </w:pPr>
    </w:p>
    <w:p w14:paraId="21B77040">
      <w:pPr>
        <w:rPr>
          <w:rFonts w:ascii="楷体" w:hAnsi="楷体" w:eastAsia="楷体"/>
          <w:b/>
          <w:sz w:val="28"/>
          <w:szCs w:val="28"/>
        </w:rPr>
      </w:pPr>
    </w:p>
    <w:p w14:paraId="5C8B455C">
      <w:pPr>
        <w:rPr>
          <w:rFonts w:ascii="楷体" w:hAnsi="楷体" w:eastAsia="楷体"/>
          <w:b/>
          <w:sz w:val="28"/>
          <w:szCs w:val="28"/>
        </w:rPr>
      </w:pPr>
    </w:p>
    <w:p w14:paraId="253A88F1">
      <w:pPr>
        <w:rPr>
          <w:rFonts w:ascii="楷体" w:hAnsi="楷体" w:eastAsia="楷体"/>
          <w:b/>
          <w:sz w:val="28"/>
          <w:szCs w:val="28"/>
        </w:rPr>
      </w:pPr>
    </w:p>
    <w:p w14:paraId="2A7BD70B">
      <w:pPr>
        <w:rPr>
          <w:rFonts w:ascii="楷体" w:hAnsi="楷体" w:eastAsia="楷体"/>
          <w:b/>
          <w:sz w:val="28"/>
          <w:szCs w:val="28"/>
        </w:rPr>
      </w:pPr>
    </w:p>
    <w:p w14:paraId="6DE98F03">
      <w:pPr>
        <w:rPr>
          <w:rFonts w:ascii="楷体" w:hAnsi="楷体" w:eastAsia="楷体"/>
          <w:b/>
          <w:sz w:val="28"/>
          <w:szCs w:val="28"/>
        </w:rPr>
      </w:pPr>
    </w:p>
    <w:p w14:paraId="3E7A10F6">
      <w:pPr>
        <w:rPr>
          <w:rFonts w:ascii="楷体" w:hAnsi="楷体" w:eastAsia="楷体"/>
          <w:b/>
          <w:sz w:val="28"/>
          <w:szCs w:val="28"/>
        </w:rPr>
      </w:pPr>
    </w:p>
    <w:p w14:paraId="036C9B85">
      <w:pPr>
        <w:rPr>
          <w:rFonts w:ascii="楷体" w:hAnsi="楷体" w:eastAsia="楷体"/>
          <w:b/>
          <w:sz w:val="28"/>
          <w:szCs w:val="28"/>
        </w:rPr>
      </w:pPr>
    </w:p>
    <w:p w14:paraId="332EB68E"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/>
          <w:sz w:val="32"/>
          <w:szCs w:val="32"/>
        </w:rPr>
        <w:t>日</w:t>
      </w:r>
    </w:p>
    <w:p w14:paraId="68928389">
      <w:pPr>
        <w:rPr>
          <w:rFonts w:ascii="楷体" w:hAnsi="楷体" w:eastAsia="楷体"/>
          <w:b/>
          <w:sz w:val="28"/>
          <w:szCs w:val="28"/>
        </w:rPr>
      </w:pPr>
    </w:p>
    <w:p w14:paraId="4BA81E4B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                </w:t>
      </w:r>
      <w:r>
        <w:rPr>
          <w:rFonts w:ascii="楷体" w:hAnsi="楷体" w:eastAsia="楷体"/>
          <w:sz w:val="32"/>
          <w:szCs w:val="32"/>
        </w:rPr>
        <w:t xml:space="preserve"> </w:t>
      </w:r>
    </w:p>
    <w:p w14:paraId="17C2D36C">
      <w:pPr>
        <w:rPr>
          <w:rFonts w:ascii="楷体" w:hAnsi="楷体" w:eastAsia="楷体"/>
          <w:b/>
          <w:sz w:val="28"/>
          <w:szCs w:val="28"/>
        </w:rPr>
      </w:pPr>
    </w:p>
    <w:p w14:paraId="734821A5"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宠物猫饲养应激防控</w:t>
      </w:r>
      <w:r>
        <w:rPr>
          <w:rFonts w:ascii="楷体" w:hAnsi="楷体" w:eastAsia="楷体"/>
          <w:b/>
          <w:sz w:val="28"/>
          <w:szCs w:val="28"/>
        </w:rPr>
        <w:t>指南</w:t>
      </w:r>
    </w:p>
    <w:p w14:paraId="78BBF772"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编制说明</w:t>
      </w:r>
    </w:p>
    <w:p w14:paraId="4209B58E">
      <w:pPr>
        <w:rPr>
          <w:rFonts w:ascii="楷体" w:hAnsi="楷体" w:eastAsia="楷体"/>
          <w:b/>
          <w:sz w:val="28"/>
          <w:szCs w:val="28"/>
        </w:rPr>
      </w:pPr>
    </w:p>
    <w:p w14:paraId="4C55C574"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8"/>
          <w:szCs w:val="28"/>
        </w:rPr>
        <w:t>一、工作简况</w:t>
      </w:r>
    </w:p>
    <w:p w14:paraId="60BCB9EE">
      <w:pPr>
        <w:spacing w:before="156" w:beforeLines="50" w:after="156" w:afterLines="5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（一）任务来源</w:t>
      </w:r>
    </w:p>
    <w:p w14:paraId="47EDF5B4"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2024</w:t>
      </w:r>
      <w:r>
        <w:rPr>
          <w:rFonts w:hint="eastAsia" w:ascii="楷体" w:hAnsi="楷体" w:eastAsia="楷体"/>
          <w:sz w:val="24"/>
          <w:szCs w:val="24"/>
        </w:rPr>
        <w:t>年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/>
          <w:color w:val="0000FF"/>
          <w:sz w:val="24"/>
          <w:szCs w:val="24"/>
        </w:rPr>
        <w:t>月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/>
          <w:color w:val="0000FF"/>
          <w:sz w:val="24"/>
          <w:szCs w:val="24"/>
        </w:rPr>
        <w:t>日</w:t>
      </w:r>
      <w:r>
        <w:rPr>
          <w:rFonts w:hint="eastAsia" w:ascii="楷体" w:hAnsi="楷体" w:eastAsia="楷体"/>
          <w:sz w:val="24"/>
          <w:szCs w:val="24"/>
        </w:rPr>
        <w:t>，本标准（草案）通过了湖北省饲料协会饲料标委会（以下简称标委会）组织的专家评审，协会2</w:t>
      </w:r>
      <w:r>
        <w:rPr>
          <w:rFonts w:ascii="楷体" w:hAnsi="楷体" w:eastAsia="楷体"/>
          <w:sz w:val="24"/>
          <w:szCs w:val="24"/>
        </w:rPr>
        <w:t>024</w:t>
      </w:r>
      <w:r>
        <w:rPr>
          <w:rFonts w:hint="eastAsia" w:ascii="楷体" w:hAnsi="楷体" w:eastAsia="楷体"/>
          <w:sz w:val="24"/>
          <w:szCs w:val="24"/>
        </w:rPr>
        <w:t>年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/>
          <w:sz w:val="24"/>
          <w:szCs w:val="24"/>
        </w:rPr>
        <w:t>月2日批准本标准立项（鄂饲协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[</w:t>
      </w:r>
      <w:r>
        <w:rPr>
          <w:rFonts w:hint="eastAsia" w:ascii="楷体" w:hAnsi="楷体" w:eastAsia="楷体"/>
          <w:sz w:val="24"/>
          <w:szCs w:val="24"/>
        </w:rPr>
        <w:t>2</w:t>
      </w:r>
      <w:r>
        <w:rPr>
          <w:rFonts w:ascii="楷体" w:hAnsi="楷体" w:eastAsia="楷体"/>
          <w:sz w:val="24"/>
          <w:szCs w:val="24"/>
        </w:rPr>
        <w:t>024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]36</w:t>
      </w:r>
      <w:r>
        <w:rPr>
          <w:rFonts w:hint="eastAsia" w:ascii="楷体" w:hAnsi="楷体" w:eastAsia="楷体"/>
          <w:sz w:val="24"/>
          <w:szCs w:val="24"/>
        </w:rPr>
        <w:t>号），预订完成时间为2</w:t>
      </w:r>
      <w:r>
        <w:rPr>
          <w:rFonts w:ascii="楷体" w:hAnsi="楷体" w:eastAsia="楷体"/>
          <w:sz w:val="24"/>
          <w:szCs w:val="24"/>
        </w:rPr>
        <w:t>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ascii="楷体" w:hAnsi="楷体" w:eastAsia="楷体"/>
          <w:sz w:val="24"/>
          <w:szCs w:val="24"/>
        </w:rPr>
        <w:t>3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</w:rPr>
        <w:t>日。</w:t>
      </w:r>
    </w:p>
    <w:p w14:paraId="356CE74A"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（二）</w:t>
      </w:r>
      <w:r>
        <w:rPr>
          <w:rFonts w:hint="eastAsia" w:ascii="楷体" w:hAnsi="楷体" w:eastAsia="楷体"/>
          <w:sz w:val="24"/>
          <w:szCs w:val="24"/>
        </w:rPr>
        <w:t>制定</w:t>
      </w:r>
      <w:r>
        <w:rPr>
          <w:rFonts w:hint="eastAsia" w:ascii="楷体" w:hAnsi="楷体" w:eastAsia="楷体"/>
          <w:b/>
          <w:sz w:val="24"/>
          <w:szCs w:val="24"/>
        </w:rPr>
        <w:t>背景</w:t>
      </w:r>
    </w:p>
    <w:p w14:paraId="14BD7E68">
      <w:pPr>
        <w:spacing w:line="360" w:lineRule="auto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近年来，随着宠物猫饲养量的持续上升，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在适应环境变化、社会互动及日常管理中暴露出较高的应激风险，进而引发行为异常和健康问题。应激反应不仅影响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的生理健康，也增加了家庭养宠管理的难度和经济负担。为此，有必要制定一部以科学理论为依据、结合实际管理经验的宠物猫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饲养</w:t>
      </w:r>
      <w:r>
        <w:rPr>
          <w:rFonts w:hint="eastAsia" w:ascii="楷体" w:hAnsi="楷体" w:eastAsia="楷体"/>
          <w:sz w:val="24"/>
          <w:szCs w:val="24"/>
        </w:rPr>
        <w:t>应激防控指南，以指导宠物饲养者、兽医及宠物管理从业人员开展规范化的应激干预工作，提升宠物福利和管理水平。</w:t>
      </w:r>
    </w:p>
    <w:p w14:paraId="4199BAEA">
      <w:pPr>
        <w:spacing w:before="156" w:beforeLines="50" w:after="156" w:afterLines="5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（三）起草过程</w:t>
      </w:r>
    </w:p>
    <w:p w14:paraId="7DFA591E">
      <w:pPr>
        <w:spacing w:line="360" w:lineRule="auto"/>
        <w:ind w:firstLine="480"/>
        <w:rPr>
          <w:rFonts w:ascii="楷体" w:hAnsi="楷体" w:eastAsia="楷体"/>
          <w:color w:val="0000FF"/>
          <w:sz w:val="24"/>
          <w:szCs w:val="24"/>
        </w:rPr>
      </w:pPr>
      <w:r>
        <w:rPr>
          <w:rFonts w:hint="eastAsia" w:ascii="楷体" w:hAnsi="楷体" w:eastAsia="楷体"/>
          <w:color w:val="0000FF"/>
          <w:sz w:val="24"/>
          <w:szCs w:val="24"/>
        </w:rPr>
        <w:t>标准起草小组根据立项评审会专家意见，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初步形成标准征求意见稿</w:t>
      </w:r>
      <w:r>
        <w:rPr>
          <w:rFonts w:hint="eastAsia" w:ascii="楷体" w:hAnsi="楷体" w:eastAsia="楷体"/>
          <w:color w:val="0000FF"/>
          <w:sz w:val="24"/>
          <w:szCs w:val="24"/>
        </w:rPr>
        <w:t>。</w:t>
      </w:r>
    </w:p>
    <w:p w14:paraId="7135BB0E">
      <w:pPr>
        <w:spacing w:line="360" w:lineRule="auto"/>
        <w:ind w:firstLine="480"/>
        <w:rPr>
          <w:rFonts w:ascii="楷体" w:hAnsi="楷体" w:eastAsia="楷体"/>
          <w:color w:val="0000FF"/>
          <w:sz w:val="24"/>
          <w:szCs w:val="24"/>
        </w:rPr>
      </w:pPr>
      <w:r>
        <w:rPr>
          <w:rFonts w:ascii="楷体" w:hAnsi="楷体" w:eastAsia="楷体"/>
          <w:color w:val="0000FF"/>
          <w:sz w:val="24"/>
          <w:szCs w:val="24"/>
        </w:rPr>
        <w:t>2024</w:t>
      </w:r>
      <w:r>
        <w:rPr>
          <w:rFonts w:hint="eastAsia" w:ascii="楷体" w:hAnsi="楷体" w:eastAsia="楷体"/>
          <w:color w:val="0000FF"/>
          <w:sz w:val="24"/>
          <w:szCs w:val="24"/>
        </w:rPr>
        <w:t>年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/>
          <w:color w:val="0000FF"/>
          <w:sz w:val="24"/>
          <w:szCs w:val="24"/>
        </w:rPr>
        <w:t>月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/>
          <w:color w:val="0000FF"/>
          <w:sz w:val="24"/>
          <w:szCs w:val="24"/>
        </w:rPr>
        <w:t>日，湖北省饲料协会饲料标委会组织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有关</w:t>
      </w:r>
      <w:r>
        <w:rPr>
          <w:rFonts w:hint="eastAsia" w:ascii="楷体" w:hAnsi="楷体" w:eastAsia="楷体"/>
          <w:color w:val="0000FF"/>
          <w:sz w:val="24"/>
          <w:szCs w:val="24"/>
        </w:rPr>
        <w:t>专家在华中农业大学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第四综合楼开展了团体标准立项评审会议，会议一致同意</w:t>
      </w:r>
      <w:r>
        <w:rPr>
          <w:rFonts w:hint="eastAsia" w:ascii="楷体" w:hAnsi="楷体" w:eastAsia="楷体"/>
          <w:color w:val="0000FF"/>
          <w:sz w:val="24"/>
          <w:szCs w:val="24"/>
        </w:rPr>
        <w:t>对团体标准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《宠物猫饲养应激防控指南》进行立项，会议要求起草小组根据本次立项评审会专家意见，尽快完成标准征求意见稿</w:t>
      </w:r>
    </w:p>
    <w:p w14:paraId="0D8E49E6">
      <w:pPr>
        <w:spacing w:line="360" w:lineRule="auto"/>
        <w:ind w:firstLine="480"/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</w:pPr>
      <w:r>
        <w:rPr>
          <w:rFonts w:ascii="楷体" w:hAnsi="楷体" w:eastAsia="楷体"/>
          <w:color w:val="0000FF"/>
          <w:sz w:val="24"/>
          <w:szCs w:val="24"/>
        </w:rPr>
        <w:t>202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FF"/>
          <w:sz w:val="24"/>
          <w:szCs w:val="24"/>
        </w:rPr>
        <w:t>年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color w:val="0000FF"/>
          <w:sz w:val="24"/>
          <w:szCs w:val="24"/>
        </w:rPr>
        <w:t>月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/>
          <w:color w:val="0000FF"/>
          <w:sz w:val="24"/>
          <w:szCs w:val="24"/>
        </w:rPr>
        <w:t>日，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起草小组初步完成标准征求意见稿。</w:t>
      </w:r>
    </w:p>
    <w:p w14:paraId="109E2649">
      <w:pPr>
        <w:spacing w:line="360" w:lineRule="auto"/>
        <w:ind w:firstLine="480"/>
        <w:rPr>
          <w:rFonts w:ascii="楷体" w:hAnsi="楷体" w:eastAsia="楷体"/>
          <w:color w:val="0000FF"/>
          <w:sz w:val="24"/>
          <w:szCs w:val="24"/>
        </w:rPr>
      </w:pP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2025年2月14日，</w:t>
      </w:r>
      <w:r>
        <w:rPr>
          <w:rFonts w:hint="eastAsia" w:ascii="楷体" w:hAnsi="楷体" w:eastAsia="楷体"/>
          <w:color w:val="0000FF"/>
          <w:sz w:val="24"/>
          <w:szCs w:val="24"/>
        </w:rPr>
        <w:t>标委会秘书处向行业有关单位和个人共发送13份征求意见表，截止至202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FF"/>
          <w:sz w:val="24"/>
          <w:szCs w:val="24"/>
        </w:rPr>
        <w:t>年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2月14</w:t>
      </w:r>
      <w:r>
        <w:rPr>
          <w:rFonts w:hint="eastAsia" w:ascii="楷体" w:hAnsi="楷体" w:eastAsia="楷体"/>
          <w:color w:val="0000FF"/>
          <w:sz w:val="24"/>
          <w:szCs w:val="24"/>
        </w:rPr>
        <w:t>日共收回1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color w:val="0000FF"/>
          <w:sz w:val="24"/>
          <w:szCs w:val="24"/>
        </w:rPr>
        <w:t>份征求意见表，其中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FF"/>
          <w:sz w:val="24"/>
          <w:szCs w:val="24"/>
        </w:rPr>
        <w:t>人表示无修改意见或建议。经汇总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/>
          <w:color w:val="0000FF"/>
          <w:sz w:val="24"/>
          <w:szCs w:val="24"/>
        </w:rPr>
        <w:t>份征求意见表共提出</w:t>
      </w:r>
      <w:r>
        <w:rPr>
          <w:rFonts w:hint="eastAsia" w:ascii="楷体" w:hAnsi="楷体" w:eastAsia="楷体"/>
          <w:color w:val="0000FF"/>
          <w:sz w:val="24"/>
          <w:szCs w:val="24"/>
          <w:lang w:val="en-US" w:eastAsia="zh-CN"/>
        </w:rPr>
        <w:t>17</w:t>
      </w:r>
      <w:r>
        <w:rPr>
          <w:rFonts w:hint="eastAsia" w:ascii="楷体" w:hAnsi="楷体" w:eastAsia="楷体"/>
          <w:color w:val="0000FF"/>
          <w:sz w:val="24"/>
          <w:szCs w:val="24"/>
        </w:rPr>
        <w:t>条意见和建议。</w:t>
      </w:r>
    </w:p>
    <w:p w14:paraId="3D0E78D0">
      <w:pPr>
        <w:spacing w:line="360" w:lineRule="auto"/>
        <w:ind w:firstLine="480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color w:val="0000FF"/>
          <w:sz w:val="24"/>
          <w:szCs w:val="24"/>
        </w:rPr>
        <w:t>202</w:t>
      </w:r>
      <w:r>
        <w:rPr>
          <w:rFonts w:hint="eastAsia" w:ascii="楷体" w:hAnsi="楷体" w:eastAsia="楷体"/>
          <w:color w:val="0000FF"/>
          <w:sz w:val="24"/>
          <w:szCs w:val="24"/>
          <w:lang w:eastAsia="zh-CN"/>
        </w:rPr>
        <w:t>？</w:t>
      </w:r>
      <w:r>
        <w:rPr>
          <w:rFonts w:hint="eastAsia" w:ascii="楷体" w:hAnsi="楷体" w:eastAsia="楷体"/>
          <w:color w:val="0000FF"/>
          <w:sz w:val="24"/>
          <w:szCs w:val="24"/>
        </w:rPr>
        <w:t>年</w:t>
      </w:r>
      <w:r>
        <w:rPr>
          <w:rFonts w:hint="eastAsia" w:ascii="楷体" w:hAnsi="楷体" w:eastAsia="楷体"/>
          <w:color w:val="0000FF"/>
          <w:sz w:val="24"/>
          <w:szCs w:val="24"/>
          <w:lang w:eastAsia="zh-CN"/>
        </w:rPr>
        <w:t>？</w:t>
      </w:r>
      <w:r>
        <w:rPr>
          <w:rFonts w:hint="eastAsia" w:ascii="楷体" w:hAnsi="楷体" w:eastAsia="楷体"/>
          <w:color w:val="0000FF"/>
          <w:sz w:val="24"/>
          <w:szCs w:val="24"/>
        </w:rPr>
        <w:t>月</w:t>
      </w:r>
      <w:r>
        <w:rPr>
          <w:rFonts w:hint="eastAsia" w:ascii="楷体" w:hAnsi="楷体" w:eastAsia="楷体"/>
          <w:color w:val="0000FF"/>
          <w:sz w:val="24"/>
          <w:szCs w:val="24"/>
          <w:lang w:eastAsia="zh-CN"/>
        </w:rPr>
        <w:t>？</w:t>
      </w:r>
      <w:r>
        <w:rPr>
          <w:rFonts w:hint="eastAsia" w:ascii="楷体" w:hAnsi="楷体" w:eastAsia="楷体"/>
          <w:color w:val="0000FF"/>
          <w:sz w:val="24"/>
          <w:szCs w:val="24"/>
        </w:rPr>
        <w:t>日，标委会秘书处召集</w:t>
      </w:r>
      <w:r>
        <w:rPr>
          <w:rFonts w:hint="eastAsia" w:ascii="楷体" w:hAnsi="楷体" w:eastAsia="楷体"/>
          <w:color w:val="0000FF"/>
          <w:sz w:val="24"/>
          <w:szCs w:val="24"/>
          <w:lang w:eastAsia="zh-CN"/>
        </w:rPr>
        <w:t>？？邀请了？参与意见征求与讨论，</w:t>
      </w:r>
      <w:r>
        <w:rPr>
          <w:rFonts w:hint="eastAsia" w:ascii="楷体" w:hAnsi="楷体" w:eastAsia="楷体"/>
          <w:color w:val="0000FF"/>
          <w:sz w:val="24"/>
          <w:szCs w:val="24"/>
        </w:rPr>
        <w:t>对标准文本进行了完善补充。现形成标准征求意见稿。</w:t>
      </w:r>
      <w:bookmarkStart w:id="0" w:name="_GoBack"/>
      <w:bookmarkEnd w:id="0"/>
    </w:p>
    <w:p w14:paraId="32ECAA7F">
      <w:pPr>
        <w:spacing w:after="156" w:afterLines="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二、标准编制原则、主要内容及其确定依据</w:t>
      </w:r>
    </w:p>
    <w:p w14:paraId="5DDF7976">
      <w:pPr>
        <w:spacing w:before="156" w:beforeLines="50" w:after="156" w:afterLines="5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（一）标准编制原则</w:t>
      </w:r>
    </w:p>
    <w:p w14:paraId="61301B9D">
      <w:pPr>
        <w:spacing w:after="156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/>
          <w:sz w:val="24"/>
          <w:szCs w:val="24"/>
        </w:rPr>
        <w:t>符合国家法律法规及部门规章、政策要求，符合国家产业发展政策；</w:t>
      </w:r>
    </w:p>
    <w:p w14:paraId="1FE218F5">
      <w:pPr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/>
          <w:sz w:val="24"/>
          <w:szCs w:val="24"/>
        </w:rPr>
        <w:t>标准文本符合</w:t>
      </w:r>
      <w:r>
        <w:rPr>
          <w:rFonts w:ascii="楷体" w:hAnsi="楷体" w:eastAsia="楷体"/>
          <w:sz w:val="24"/>
          <w:szCs w:val="24"/>
        </w:rPr>
        <w:t>GB/T 1.1-2020</w:t>
      </w:r>
      <w:r>
        <w:rPr>
          <w:rFonts w:hint="eastAsia" w:ascii="楷体" w:hAnsi="楷体" w:eastAsia="楷体"/>
          <w:sz w:val="24"/>
          <w:szCs w:val="24"/>
        </w:rPr>
        <w:t>《</w:t>
      </w:r>
      <w:r>
        <w:rPr>
          <w:rFonts w:ascii="楷体" w:hAnsi="楷体" w:eastAsia="楷体"/>
          <w:sz w:val="24"/>
          <w:szCs w:val="24"/>
        </w:rPr>
        <w:t>标准化工作导则 第1部分：标准化文件的结构和起草规则</w:t>
      </w:r>
      <w:r>
        <w:rPr>
          <w:rFonts w:hint="eastAsia" w:ascii="楷体" w:hAnsi="楷体" w:eastAsia="楷体"/>
          <w:sz w:val="24"/>
          <w:szCs w:val="24"/>
        </w:rPr>
        <w:t xml:space="preserve">》和 </w:t>
      </w:r>
      <w:r>
        <w:rPr>
          <w:rFonts w:ascii="楷体" w:hAnsi="楷体" w:eastAsia="楷体"/>
          <w:sz w:val="24"/>
          <w:szCs w:val="24"/>
        </w:rPr>
        <w:t xml:space="preserve">GBT 20001.7-2017 </w:t>
      </w:r>
      <w:r>
        <w:rPr>
          <w:rFonts w:hint="eastAsia" w:ascii="楷体" w:hAnsi="楷体" w:eastAsia="楷体"/>
          <w:sz w:val="24"/>
          <w:szCs w:val="24"/>
        </w:rPr>
        <w:t>《标准编写规则</w:t>
      </w:r>
      <w:r>
        <w:rPr>
          <w:rFonts w:ascii="楷体" w:hAnsi="楷体" w:eastAsia="楷体"/>
          <w:sz w:val="24"/>
          <w:szCs w:val="24"/>
        </w:rPr>
        <w:t xml:space="preserve"> 第 7 部分</w:t>
      </w:r>
      <w:r>
        <w:rPr>
          <w:rFonts w:hint="eastAsia" w:ascii="楷体" w:hAnsi="楷体" w:eastAsia="楷体"/>
          <w:sz w:val="24"/>
          <w:szCs w:val="24"/>
        </w:rPr>
        <w:t>：</w:t>
      </w:r>
      <w:r>
        <w:rPr>
          <w:rFonts w:ascii="楷体" w:hAnsi="楷体" w:eastAsia="楷体"/>
          <w:sz w:val="24"/>
          <w:szCs w:val="24"/>
        </w:rPr>
        <w:t>指南标准</w:t>
      </w:r>
      <w:r>
        <w:rPr>
          <w:rFonts w:hint="eastAsia" w:ascii="楷体" w:hAnsi="楷体" w:eastAsia="楷体"/>
          <w:sz w:val="24"/>
          <w:szCs w:val="24"/>
        </w:rPr>
        <w:t>》的规定。</w:t>
      </w:r>
    </w:p>
    <w:p w14:paraId="301E759F">
      <w:pPr>
        <w:ind w:firstLine="240" w:firstLineChars="100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 xml:space="preserve">  3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/>
          <w:sz w:val="24"/>
          <w:szCs w:val="24"/>
        </w:rPr>
        <w:t>以“指导性、引领性、科学性、实用性”为制定本标准的主题思想。</w:t>
      </w:r>
    </w:p>
    <w:p w14:paraId="544BB873">
      <w:pPr>
        <w:spacing w:before="156" w:beforeLines="50" w:after="156" w:afterLines="5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（二）主要内容及其确定依据</w:t>
      </w:r>
    </w:p>
    <w:p w14:paraId="7FD22091">
      <w:pPr>
        <w:spacing w:line="360" w:lineRule="auto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b/>
          <w:sz w:val="24"/>
          <w:szCs w:val="24"/>
        </w:rPr>
        <w:t>1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/>
          <w:b/>
          <w:sz w:val="24"/>
          <w:szCs w:val="24"/>
        </w:rPr>
        <w:t>总则</w:t>
      </w:r>
    </w:p>
    <w:p w14:paraId="785230A6">
      <w:pPr>
        <w:spacing w:line="360" w:lineRule="auto"/>
        <w:ind w:firstLine="720" w:firstLineChars="3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宠物猫饲养应激管理的目标在于减少宠物猫的应激源，优化日常饲养条件，通过科学的干预措施提升其对环境变化的适应能力，减少应激行为的发生频率和强度。</w:t>
      </w:r>
    </w:p>
    <w:p w14:paraId="422C4B26">
      <w:pPr>
        <w:spacing w:after="156" w:afterLines="50"/>
        <w:ind w:firstLine="241" w:firstLineChars="10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.</w:t>
      </w:r>
      <w:r>
        <w:rPr>
          <w:rFonts w:hint="eastAsia" w:ascii="楷体" w:hAnsi="楷体" w:eastAsia="楷体"/>
          <w:b/>
          <w:sz w:val="24"/>
          <w:szCs w:val="24"/>
        </w:rPr>
        <w:t>需要考虑的因素</w:t>
      </w:r>
    </w:p>
    <w:p w14:paraId="3296F9D1">
      <w:pPr>
        <w:spacing w:after="156" w:afterLines="50"/>
        <w:ind w:firstLine="241" w:firstLineChars="100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ascii="楷体" w:hAnsi="楷体" w:eastAsia="楷体"/>
          <w:b/>
          <w:sz w:val="24"/>
          <w:szCs w:val="24"/>
        </w:rPr>
        <w:t xml:space="preserve">2.1 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宠物猫的应激反应及个体差异</w:t>
      </w:r>
    </w:p>
    <w:p w14:paraId="279C7EA6">
      <w:pPr>
        <w:spacing w:after="156" w:afterLines="50"/>
        <w:ind w:firstLine="48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宠物猫对环境变化高度敏感，尤其在生活环境、社交互动和日常习惯发生变化时，容易产生应激反应</w:t>
      </w:r>
      <w:r>
        <w:rPr>
          <w:rFonts w:hint="eastAsia" w:ascii="楷体" w:hAnsi="楷体" w:eastAsia="楷体"/>
          <w:sz w:val="24"/>
          <w:szCs w:val="24"/>
        </w:rPr>
        <w:t>。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同时，宠物猫之间存在显著的个体差异，注入年龄、性格、社会化经历及健康状况等因素，会影响它们对应激源的反应。例如，一些宠物猫可能因外部环境变化而表现出更强烈的焦虑，而另一些宠物猫则可能较快适应。本指南的编制过程中，虽然考虑到宠物猫个体差异可能对应激反应产生影响，但本标准主要着眼于提供针对不同情境的防控策略，而不对每只宠物猫的具体情况做过多细化。标准建议在实际应用过程中应评估宠物猫应激水平，根据宠物猫的行为表现、健康状况、性格特征等因素灵活调整防控措施，确保应激管理的有效性。</w:t>
      </w:r>
    </w:p>
    <w:p w14:paraId="5D6E0304">
      <w:pPr>
        <w:spacing w:after="156" w:afterLines="50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4"/>
          <w:szCs w:val="24"/>
        </w:rPr>
        <w:t xml:space="preserve">2.2 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应激源的识别与管理</w:t>
      </w:r>
    </w:p>
    <w:p w14:paraId="028D4DB8">
      <w:pPr>
        <w:spacing w:after="156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应激源是导致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产生应激反应的关键因素，包括环境变化、社交互动、身体健康问题等。常见的应激源包括噪音、陌生环境、健康问题、社交冲突、生活习惯变化等。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多个应激源同时存在时，可能会加剧宠物猫的应激反应。本标准对各类宠物猫应激场景提出了综合防控措施。</w:t>
      </w:r>
    </w:p>
    <w:p w14:paraId="5DDCA903">
      <w:pPr>
        <w:spacing w:after="156" w:afterLines="50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b/>
          <w:sz w:val="24"/>
          <w:szCs w:val="24"/>
        </w:rPr>
        <w:t xml:space="preserve"> 2.3 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多猫家庭的应激管理</w:t>
      </w:r>
    </w:p>
    <w:p w14:paraId="5E0CB517">
      <w:pPr>
        <w:spacing w:after="156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在多猫家庭中，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之间的社会互动可能引发竞争、冲突等问题，成为应激源。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之间的社会结构复杂，尤其在引入新猫或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间资源争夺时，应激反应更加明显。本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标准对缓解</w:t>
      </w:r>
      <w:r>
        <w:rPr>
          <w:rFonts w:hint="eastAsia" w:ascii="楷体" w:hAnsi="楷体" w:eastAsia="楷体"/>
          <w:sz w:val="24"/>
          <w:szCs w:val="24"/>
        </w:rPr>
        <w:t>多猫家庭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应激</w:t>
      </w:r>
      <w:r>
        <w:rPr>
          <w:rFonts w:hint="eastAsia" w:ascii="楷体" w:hAnsi="楷体" w:eastAsia="楷体"/>
          <w:sz w:val="24"/>
          <w:szCs w:val="24"/>
        </w:rPr>
        <w:t>的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措施提出了建议</w:t>
      </w:r>
      <w:r>
        <w:rPr>
          <w:rFonts w:hint="eastAsia" w:ascii="楷体" w:hAnsi="楷体" w:eastAsia="楷体"/>
          <w:sz w:val="24"/>
          <w:szCs w:val="24"/>
        </w:rPr>
        <w:t>。</w:t>
      </w:r>
    </w:p>
    <w:p w14:paraId="6DDB57BD">
      <w:pPr>
        <w:spacing w:after="156" w:afterLines="50"/>
        <w:rPr>
          <w:rFonts w:hint="default" w:ascii="楷体" w:hAnsi="楷体" w:eastAsia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b/>
          <w:sz w:val="24"/>
          <w:szCs w:val="24"/>
        </w:rPr>
        <w:t xml:space="preserve">2.4 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猫的健康状况</w:t>
      </w:r>
    </w:p>
    <w:p w14:paraId="3EF0A85E">
      <w:pPr>
        <w:spacing w:after="156" w:afterLines="50"/>
        <w:ind w:firstLine="48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的健康状况（如慢性病、消化问题等）可能使其对应激源的耐受力下降。应激反应可能会加剧已有的健康问题，甚至诱发新的疾病。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本标准对缓解患有慢性疾病的宠物猫应激提出了建议。</w:t>
      </w:r>
    </w:p>
    <w:p w14:paraId="2D370279">
      <w:pPr>
        <w:spacing w:after="156" w:afterLines="5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b/>
          <w:sz w:val="24"/>
          <w:szCs w:val="24"/>
        </w:rPr>
        <w:t xml:space="preserve">2.5 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猫用信息素产品</w:t>
      </w:r>
      <w:r>
        <w:rPr>
          <w:rFonts w:hint="eastAsia" w:ascii="楷体" w:hAnsi="楷体" w:eastAsia="楷体"/>
          <w:b/>
          <w:sz w:val="24"/>
          <w:szCs w:val="24"/>
        </w:rPr>
        <w:t>的使用</w:t>
      </w:r>
    </w:p>
    <w:p w14:paraId="4A7DAE5E">
      <w:pPr>
        <w:spacing w:after="156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猫用信息素</w:t>
      </w:r>
      <w:r>
        <w:rPr>
          <w:rFonts w:hint="eastAsia" w:ascii="楷体" w:hAnsi="楷体" w:eastAsia="楷体"/>
          <w:sz w:val="24"/>
          <w:szCs w:val="24"/>
        </w:rPr>
        <w:t>的使用是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预防和缓解宠物猫应激</w:t>
      </w:r>
      <w:r>
        <w:rPr>
          <w:rFonts w:hint="eastAsia" w:ascii="楷体" w:hAnsi="楷体" w:eastAsia="楷体"/>
          <w:sz w:val="24"/>
          <w:szCs w:val="24"/>
        </w:rPr>
        <w:t>的重要手段，本标准对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猫用信息素产品</w:t>
      </w:r>
      <w:r>
        <w:rPr>
          <w:rFonts w:hint="eastAsia" w:ascii="楷体" w:hAnsi="楷体" w:eastAsia="楷体"/>
          <w:sz w:val="24"/>
          <w:szCs w:val="24"/>
        </w:rPr>
        <w:t>的使用给出了建议。</w:t>
      </w:r>
    </w:p>
    <w:p w14:paraId="14A4774B">
      <w:pPr>
        <w:spacing w:after="156" w:afterLines="5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b/>
          <w:sz w:val="24"/>
          <w:szCs w:val="24"/>
        </w:rPr>
        <w:t xml:space="preserve"> 2.6 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镇静剂</w:t>
      </w:r>
      <w:r>
        <w:rPr>
          <w:rFonts w:hint="eastAsia" w:ascii="楷体" w:hAnsi="楷体" w:eastAsia="楷体"/>
          <w:b/>
          <w:sz w:val="24"/>
          <w:szCs w:val="24"/>
        </w:rPr>
        <w:t>的使用</w:t>
      </w:r>
    </w:p>
    <w:p w14:paraId="6A6C3F12">
      <w:pPr>
        <w:spacing w:after="156" w:afterLines="5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镇静药物通过抑制中枢神经系统的过度兴奋</w:t>
      </w:r>
      <w:r>
        <w:rPr>
          <w:rFonts w:hint="eastAsia" w:ascii="楷体" w:hAnsi="楷体" w:eastAsia="楷体"/>
          <w:sz w:val="24"/>
          <w:szCs w:val="24"/>
        </w:rPr>
        <w:t>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帮助宠物猫减轻应激反应，是缓解宠物猫焦虑和紧张的重要途径。本标准对镇静药物的使用提出了建议</w:t>
      </w:r>
      <w:r>
        <w:rPr>
          <w:rFonts w:hint="eastAsia" w:ascii="楷体" w:hAnsi="楷体" w:eastAsia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强调在兽医指导下合理使用。</w:t>
      </w:r>
    </w:p>
    <w:p w14:paraId="50C24A8B">
      <w:pPr>
        <w:spacing w:after="156" w:afterLines="50"/>
        <w:ind w:firstLine="241" w:firstLineChars="100"/>
        <w:rPr>
          <w:rFonts w:ascii="楷体" w:hAnsi="楷体" w:eastAsia="楷体"/>
          <w:b/>
          <w:sz w:val="24"/>
          <w:szCs w:val="24"/>
        </w:rPr>
      </w:pPr>
      <w:r>
        <w:rPr>
          <w:rFonts w:ascii="楷体" w:hAnsi="楷体" w:eastAsia="楷体"/>
          <w:b/>
          <w:sz w:val="24"/>
          <w:szCs w:val="24"/>
        </w:rPr>
        <w:t xml:space="preserve">2.7 </w:t>
      </w:r>
      <w:r>
        <w:rPr>
          <w:rFonts w:hint="eastAsia" w:ascii="楷体" w:hAnsi="楷体" w:eastAsia="楷体"/>
          <w:b/>
          <w:sz w:val="24"/>
          <w:szCs w:val="24"/>
        </w:rPr>
        <w:t>提高动物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>抗压</w:t>
      </w:r>
      <w:r>
        <w:rPr>
          <w:rFonts w:hint="eastAsia" w:ascii="楷体" w:hAnsi="楷体" w:eastAsia="楷体"/>
          <w:b/>
          <w:sz w:val="24"/>
          <w:szCs w:val="24"/>
        </w:rPr>
        <w:t>能力</w:t>
      </w:r>
    </w:p>
    <w:p w14:paraId="0AC8ABBD">
      <w:pPr>
        <w:spacing w:after="156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从以往的研究来看，即便采取了多种应激防控措施，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仍可能会受到一定程度的应激影响，因此，提高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的抗压能力是减轻应激危害的关键环节。本标准对提高宠物猫抗压能力的措施提出了建议。</w:t>
      </w:r>
    </w:p>
    <w:p w14:paraId="02ED9081">
      <w:pPr>
        <w:spacing w:after="156" w:afterLines="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三、预期的经济效益、社会效益和生态效益</w:t>
      </w:r>
    </w:p>
    <w:p w14:paraId="2AF69412">
      <w:pPr>
        <w:spacing w:after="156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</w:t>
      </w:r>
      <w:r>
        <w:rPr>
          <w:rFonts w:ascii="楷体" w:hAnsi="楷体" w:eastAsia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已有研究表明，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的应激反应可能导致多种健康问题，严重时甚至引发死亡。例如，</w:t>
      </w:r>
      <w:r>
        <w:rPr>
          <w:rFonts w:hint="eastAsia" w:ascii="楷体" w:hAnsi="楷体" w:eastAsia="楷体"/>
          <w:sz w:val="24"/>
          <w:szCs w:val="24"/>
          <w:lang w:eastAsia="zh-CN"/>
        </w:rPr>
        <w:t>宠物猫</w:t>
      </w:r>
      <w:r>
        <w:rPr>
          <w:rFonts w:hint="eastAsia" w:ascii="楷体" w:hAnsi="楷体" w:eastAsia="楷体"/>
          <w:sz w:val="24"/>
          <w:szCs w:val="24"/>
        </w:rPr>
        <w:t>可能因应激导致脱毛、尿频、尿闭、拉稀、冠状病毒突变，引发传染性腹膜炎等，更极端的情况可能导致猝死</w:t>
      </w:r>
      <w:r>
        <w:rPr>
          <w:rFonts w:hint="eastAsia" w:ascii="楷体" w:hAnsi="楷体" w:eastAsia="楷体"/>
          <w:sz w:val="24"/>
          <w:szCs w:val="24"/>
          <w:lang w:eastAsia="zh-CN"/>
        </w:rPr>
        <w:t>。通过降低因应激引发的健康问题和行为异常，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不仅能</w:t>
      </w:r>
      <w:r>
        <w:rPr>
          <w:rFonts w:hint="eastAsia" w:ascii="楷体" w:hAnsi="楷体" w:eastAsia="楷体"/>
          <w:sz w:val="24"/>
          <w:szCs w:val="24"/>
          <w:lang w:eastAsia="zh-CN"/>
        </w:rPr>
        <w:t>减少治疗和养护费用，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还能减少宠物猫遗弃现象，降低流浪猫数量，减少由流浪猫引发的公共卫生和环境治理成本，维护生态平衡</w:t>
      </w:r>
      <w:r>
        <w:rPr>
          <w:rFonts w:hint="eastAsia" w:ascii="楷体" w:hAnsi="楷体" w:eastAsia="楷体"/>
          <w:sz w:val="24"/>
          <w:szCs w:val="24"/>
          <w:lang w:eastAsia="zh-CN"/>
        </w:rPr>
        <w:t>。</w:t>
      </w:r>
      <w:r>
        <w:rPr>
          <w:rFonts w:hint="eastAsia" w:ascii="楷体" w:hAnsi="楷体" w:eastAsia="楷体"/>
          <w:sz w:val="24"/>
          <w:szCs w:val="24"/>
        </w:rPr>
        <w:t>本标准的发布实施将具有巨大的经济价值、社会效益和生态效益。</w:t>
      </w:r>
    </w:p>
    <w:p w14:paraId="195CFEFE">
      <w:pPr>
        <w:spacing w:after="156" w:afterLines="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四、与有关法律、行政法规及相关标准的关系</w:t>
      </w:r>
    </w:p>
    <w:p w14:paraId="54A48F2F">
      <w:pPr>
        <w:spacing w:after="156" w:afterLines="5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鉴于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与宠物猫饲养应激防控相关的</w:t>
      </w:r>
      <w:r>
        <w:rPr>
          <w:rFonts w:hint="eastAsia" w:ascii="楷体" w:hAnsi="楷体" w:eastAsia="楷体"/>
          <w:sz w:val="24"/>
          <w:szCs w:val="24"/>
        </w:rPr>
        <w:t>法律法规尚未出台，本标准作为技术性指导文件，旨在填补现有法律法规的空白，为宠物猫饲养和应激防控提供科学依据和操作指南。同时，本标准的实施将有助于推动相关法律法规的完善，促进宠物管理和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动物福利</w:t>
      </w:r>
      <w:r>
        <w:rPr>
          <w:rFonts w:hint="eastAsia" w:ascii="楷体" w:hAnsi="楷体" w:eastAsia="楷体"/>
          <w:sz w:val="24"/>
          <w:szCs w:val="24"/>
        </w:rPr>
        <w:t>工作的法治化进程。</w:t>
      </w:r>
    </w:p>
    <w:p w14:paraId="70C62525">
      <w:pPr>
        <w:spacing w:after="156" w:afterLines="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五、重大分歧意见的处理经过和依据</w:t>
      </w:r>
    </w:p>
    <w:p w14:paraId="2068826C">
      <w:pPr>
        <w:spacing w:after="156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无。</w:t>
      </w:r>
    </w:p>
    <w:p w14:paraId="62333FD9">
      <w:pPr>
        <w:spacing w:after="156" w:afterLines="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六、涉及专利的有关说明</w:t>
      </w:r>
    </w:p>
    <w:p w14:paraId="55919B8F">
      <w:pPr>
        <w:spacing w:after="156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本标准不涉及专利问题。</w:t>
      </w:r>
    </w:p>
    <w:p w14:paraId="54A1D754">
      <w:pPr>
        <w:spacing w:after="156" w:afterLines="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七、实施标准的要求，以及组织措施、技术措施、过渡期和实施日期的建议等措施建议</w:t>
      </w:r>
    </w:p>
    <w:p w14:paraId="3AA8DD24">
      <w:pPr>
        <w:spacing w:after="156" w:afterLines="5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4"/>
          <w:szCs w:val="24"/>
        </w:rPr>
        <w:t>将依托湖北省饲料工业协会有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利</w:t>
      </w:r>
      <w:r>
        <w:rPr>
          <w:rFonts w:hint="eastAsia" w:ascii="楷体" w:hAnsi="楷体" w:eastAsia="楷体"/>
          <w:sz w:val="24"/>
          <w:szCs w:val="24"/>
        </w:rPr>
        <w:t>平台，对本标准宣传实施</w:t>
      </w:r>
      <w:r>
        <w:rPr>
          <w:rFonts w:hint="eastAsia" w:ascii="楷体" w:hAnsi="楷体" w:eastAsia="楷体"/>
          <w:sz w:val="24"/>
          <w:szCs w:val="24"/>
          <w:lang w:eastAsia="zh-CN"/>
        </w:rPr>
        <w:t>。</w:t>
      </w:r>
    </w:p>
    <w:p w14:paraId="024377FD">
      <w:pPr>
        <w:spacing w:after="156" w:afterLines="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八、其他应当说明的事项。</w:t>
      </w:r>
    </w:p>
    <w:p w14:paraId="771398C2">
      <w:pPr>
        <w:spacing w:after="156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无。</w:t>
      </w:r>
    </w:p>
    <w:p w14:paraId="29E13CF4">
      <w:pPr>
        <w:spacing w:after="156" w:afterLines="50"/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九、标准编制单位信息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06"/>
        <w:gridCol w:w="3486"/>
        <w:gridCol w:w="1113"/>
      </w:tblGrid>
      <w:tr w14:paraId="441C4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1FE02503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序号</w:t>
            </w:r>
          </w:p>
        </w:tc>
        <w:tc>
          <w:tcPr>
            <w:tcW w:w="1906" w:type="dxa"/>
          </w:tcPr>
          <w:p w14:paraId="72F35AB8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单位（简称）</w:t>
            </w:r>
          </w:p>
        </w:tc>
        <w:tc>
          <w:tcPr>
            <w:tcW w:w="3486" w:type="dxa"/>
          </w:tcPr>
          <w:p w14:paraId="0CA23FA4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参加人员</w:t>
            </w:r>
          </w:p>
        </w:tc>
        <w:tc>
          <w:tcPr>
            <w:tcW w:w="1113" w:type="dxa"/>
          </w:tcPr>
          <w:p w14:paraId="7F4C7967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</w:tr>
      <w:tr w14:paraId="33D7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44A75A06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14:paraId="26A5C5EE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华中农业大学</w:t>
            </w:r>
          </w:p>
        </w:tc>
        <w:tc>
          <w:tcPr>
            <w:tcW w:w="3486" w:type="dxa"/>
          </w:tcPr>
          <w:p w14:paraId="06AECD66"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</w:tcPr>
          <w:p w14:paraId="710CEFB1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AD7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1F551376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14:paraId="4C35DE22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武汉嘉燊得生物科技有限公司</w:t>
            </w:r>
          </w:p>
        </w:tc>
        <w:tc>
          <w:tcPr>
            <w:tcW w:w="3486" w:type="dxa"/>
          </w:tcPr>
          <w:p w14:paraId="73CDBBCF"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张魏文</w:t>
            </w:r>
          </w:p>
        </w:tc>
        <w:tc>
          <w:tcPr>
            <w:tcW w:w="1113" w:type="dxa"/>
          </w:tcPr>
          <w:p w14:paraId="39EE1B2A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0F782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1E6BD2A4"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906" w:type="dxa"/>
          </w:tcPr>
          <w:p w14:paraId="03B6A19E">
            <w:pPr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湖北农发生物科技有限公司</w:t>
            </w:r>
          </w:p>
        </w:tc>
        <w:tc>
          <w:tcPr>
            <w:tcW w:w="3486" w:type="dxa"/>
          </w:tcPr>
          <w:p w14:paraId="6C5F801D"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刘俊</w:t>
            </w:r>
          </w:p>
        </w:tc>
        <w:tc>
          <w:tcPr>
            <w:tcW w:w="1113" w:type="dxa"/>
          </w:tcPr>
          <w:p w14:paraId="39BDBF18"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 w14:paraId="6BCFB0A5">
      <w:pPr>
        <w:rPr>
          <w:rFonts w:ascii="楷体" w:hAnsi="楷体" w:eastAsia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N2U0NTE2ZWZjNGNkOGYwMTY5ODIwZjEyYjUxNGMifQ=="/>
  </w:docVars>
  <w:rsids>
    <w:rsidRoot w:val="00E14D04"/>
    <w:rsid w:val="00086CDE"/>
    <w:rsid w:val="00096CC3"/>
    <w:rsid w:val="000F614F"/>
    <w:rsid w:val="0013235E"/>
    <w:rsid w:val="001809A1"/>
    <w:rsid w:val="001A07A3"/>
    <w:rsid w:val="001A0CEC"/>
    <w:rsid w:val="001B10EE"/>
    <w:rsid w:val="001E175A"/>
    <w:rsid w:val="00231423"/>
    <w:rsid w:val="00331FF7"/>
    <w:rsid w:val="003A6462"/>
    <w:rsid w:val="003B29BA"/>
    <w:rsid w:val="003B4CB7"/>
    <w:rsid w:val="003C2E3C"/>
    <w:rsid w:val="003D5E2B"/>
    <w:rsid w:val="004461BA"/>
    <w:rsid w:val="00540A66"/>
    <w:rsid w:val="00594A8F"/>
    <w:rsid w:val="005F7C45"/>
    <w:rsid w:val="006A3F43"/>
    <w:rsid w:val="006B438C"/>
    <w:rsid w:val="006E00B2"/>
    <w:rsid w:val="007A42CC"/>
    <w:rsid w:val="007A5821"/>
    <w:rsid w:val="007B7E7A"/>
    <w:rsid w:val="0080562E"/>
    <w:rsid w:val="008102C0"/>
    <w:rsid w:val="00837C85"/>
    <w:rsid w:val="00846B0A"/>
    <w:rsid w:val="00853F78"/>
    <w:rsid w:val="008B7EDA"/>
    <w:rsid w:val="0096677D"/>
    <w:rsid w:val="009B4BD0"/>
    <w:rsid w:val="009E6F32"/>
    <w:rsid w:val="00AB1E9F"/>
    <w:rsid w:val="00B1312E"/>
    <w:rsid w:val="00B1354F"/>
    <w:rsid w:val="00BA7CAE"/>
    <w:rsid w:val="00BC2726"/>
    <w:rsid w:val="00C07663"/>
    <w:rsid w:val="00C71A73"/>
    <w:rsid w:val="00C734C0"/>
    <w:rsid w:val="00CA61C1"/>
    <w:rsid w:val="00D13361"/>
    <w:rsid w:val="00D62867"/>
    <w:rsid w:val="00DB1CF4"/>
    <w:rsid w:val="00DB4B8F"/>
    <w:rsid w:val="00E14D04"/>
    <w:rsid w:val="00EE340C"/>
    <w:rsid w:val="00EE38F6"/>
    <w:rsid w:val="00F01C8F"/>
    <w:rsid w:val="00FA1642"/>
    <w:rsid w:val="00FB1AF3"/>
    <w:rsid w:val="00FC2418"/>
    <w:rsid w:val="00FD4D82"/>
    <w:rsid w:val="00FF4D19"/>
    <w:rsid w:val="07592E65"/>
    <w:rsid w:val="1C9442FC"/>
    <w:rsid w:val="1E444CCA"/>
    <w:rsid w:val="23394861"/>
    <w:rsid w:val="34BF2BBB"/>
    <w:rsid w:val="37A46956"/>
    <w:rsid w:val="3EA6793F"/>
    <w:rsid w:val="482D0722"/>
    <w:rsid w:val="4DD665AB"/>
    <w:rsid w:val="4F831A0B"/>
    <w:rsid w:val="50182CF3"/>
    <w:rsid w:val="525F116E"/>
    <w:rsid w:val="54C904FE"/>
    <w:rsid w:val="6A8D54DD"/>
    <w:rsid w:val="6B674850"/>
    <w:rsid w:val="743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2189</Words>
  <Characters>2257</Characters>
  <Lines>15</Lines>
  <Paragraphs>4</Paragraphs>
  <TotalTime>1</TotalTime>
  <ScaleCrop>false</ScaleCrop>
  <LinksUpToDate>false</LinksUpToDate>
  <CharactersWithSpaces>2392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2024-06-20T00:40:00Z</dcterms:created>
  <dc:creator>ds q</dc:creator>
  <cp:lastModifiedBy>湖北省饲料工业协会</cp:lastModifiedBy>
  <dcterms:modified xsi:type="dcterms:W3CDTF">2025-02-13T08:08:12Z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28AC97C193AC49F3A8C904BC56E3AA5D_13</vt:lpwstr>
  </property>
  <property fmtid="{D5CDD505-2E9C-101B-9397-08002B2CF9AE}" pid="4" name="KSOTemplateDocerSaveRecord">
    <vt:lpwstr>eyJoZGlkIjoiZTEzZjExOTJkZjI0MTY0NzYyYmEwNTNlYzdkODA0YTEiLCJ1c2VySWQiOiIyMjkwNjY2NzEifQ==</vt:lpwstr>
  </property>
</Properties>
</file>